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Calcolo e stima entrate da sanzioni per formazione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 in proprio: elaborazione controdeduzioni per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contenzioso: Udienze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Contrassegno per veicoli esclusivamente elettrici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